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14E959" w14:textId="77777777" w:rsidR="00081C6A" w:rsidRDefault="0093716B">
      <w:pPr>
        <w:pStyle w:val="Ttulo"/>
      </w:pPr>
      <w:bookmarkStart w:id="0" w:name="Companhia_de_Cultura_e_Turismo_de_Maricá"/>
      <w:bookmarkEnd w:id="0"/>
      <w:r>
        <w:t>COMPANHIA</w:t>
      </w:r>
      <w:r>
        <w:rPr>
          <w:spacing w:val="-14"/>
        </w:rPr>
        <w:t xml:space="preserve"> </w:t>
      </w:r>
      <w:r>
        <w:t>DE</w:t>
      </w:r>
      <w:r>
        <w:rPr>
          <w:spacing w:val="-13"/>
        </w:rPr>
        <w:t xml:space="preserve"> </w:t>
      </w:r>
      <w:r>
        <w:t>CULTURA</w:t>
      </w:r>
      <w:r>
        <w:rPr>
          <w:spacing w:val="-13"/>
        </w:rPr>
        <w:t xml:space="preserve"> </w:t>
      </w:r>
      <w:r>
        <w:t>E</w:t>
      </w:r>
      <w:r>
        <w:rPr>
          <w:spacing w:val="-10"/>
        </w:rPr>
        <w:t xml:space="preserve"> </w:t>
      </w:r>
      <w:r>
        <w:t>TURISMO</w:t>
      </w:r>
      <w:r>
        <w:rPr>
          <w:spacing w:val="-6"/>
        </w:rPr>
        <w:t xml:space="preserve"> </w:t>
      </w:r>
      <w:r>
        <w:t>DE</w:t>
      </w:r>
      <w:r>
        <w:rPr>
          <w:spacing w:val="-6"/>
        </w:rPr>
        <w:t xml:space="preserve"> </w:t>
      </w:r>
      <w:r>
        <w:t>MARICÁ</w:t>
      </w:r>
      <w:r>
        <w:rPr>
          <w:spacing w:val="-7"/>
        </w:rPr>
        <w:t xml:space="preserve"> </w:t>
      </w:r>
      <w:r>
        <w:t>–</w:t>
      </w:r>
      <w:r>
        <w:rPr>
          <w:spacing w:val="-6"/>
        </w:rPr>
        <w:t xml:space="preserve"> </w:t>
      </w:r>
      <w:r>
        <w:t>CTMAR</w:t>
      </w:r>
      <w:r>
        <w:rPr>
          <w:spacing w:val="-7"/>
        </w:rPr>
        <w:t xml:space="preserve"> </w:t>
      </w:r>
      <w:r>
        <w:rPr>
          <w:spacing w:val="-2"/>
        </w:rPr>
        <w:t>(MARÉ)</w:t>
      </w:r>
    </w:p>
    <w:p w14:paraId="2648FEFC" w14:textId="44218417" w:rsidR="00081C6A" w:rsidRPr="004E41AB" w:rsidRDefault="0093716B">
      <w:pPr>
        <w:spacing w:before="40"/>
        <w:ind w:left="2" w:right="2"/>
        <w:jc w:val="center"/>
        <w:rPr>
          <w:b/>
          <w:bCs/>
          <w:sz w:val="17"/>
        </w:rPr>
      </w:pPr>
      <w:bookmarkStart w:id="1" w:name="CNPJ_nº_63.944.232/0001-18_—_Sociedade_d"/>
      <w:bookmarkEnd w:id="1"/>
      <w:r w:rsidRPr="004E41AB">
        <w:rPr>
          <w:b/>
          <w:bCs/>
          <w:sz w:val="17"/>
        </w:rPr>
        <w:t>CNPJ</w:t>
      </w:r>
      <w:r w:rsidR="004E41AB" w:rsidRPr="004E41AB">
        <w:rPr>
          <w:b/>
          <w:bCs/>
          <w:sz w:val="17"/>
        </w:rPr>
        <w:t>:</w:t>
      </w:r>
      <w:r w:rsidRPr="004E41AB">
        <w:rPr>
          <w:b/>
          <w:bCs/>
          <w:spacing w:val="-1"/>
          <w:sz w:val="17"/>
        </w:rPr>
        <w:t xml:space="preserve"> </w:t>
      </w:r>
      <w:r w:rsidRPr="004E41AB">
        <w:rPr>
          <w:b/>
          <w:bCs/>
          <w:sz w:val="17"/>
        </w:rPr>
        <w:t xml:space="preserve">63.944.232/0001-18 </w:t>
      </w:r>
    </w:p>
    <w:p w14:paraId="596AC291" w14:textId="4DAF40CF" w:rsidR="00081C6A" w:rsidRPr="004E41AB" w:rsidRDefault="004E41AB">
      <w:pPr>
        <w:spacing w:before="39"/>
        <w:ind w:right="2"/>
        <w:jc w:val="center"/>
        <w:rPr>
          <w:b/>
          <w:bCs/>
          <w:i/>
          <w:sz w:val="14"/>
        </w:rPr>
      </w:pPr>
      <w:r w:rsidRPr="004E41AB">
        <w:rPr>
          <w:b/>
          <w:bCs/>
          <w:i/>
          <w:sz w:val="14"/>
        </w:rPr>
        <w:t xml:space="preserve">Notas Explicativas às Demonstrações Contábeis </w:t>
      </w:r>
      <w:r w:rsidR="000015AF">
        <w:rPr>
          <w:b/>
          <w:bCs/>
          <w:i/>
          <w:sz w:val="14"/>
        </w:rPr>
        <w:t xml:space="preserve">do </w:t>
      </w:r>
      <w:r w:rsidRPr="004E41AB">
        <w:rPr>
          <w:b/>
          <w:bCs/>
          <w:i/>
          <w:sz w:val="14"/>
        </w:rPr>
        <w:t>Exercício findo em 31 de dezembro de 2025</w:t>
      </w:r>
    </w:p>
    <w:p w14:paraId="6FB71747" w14:textId="77777777" w:rsidR="00081C6A" w:rsidRDefault="0093716B">
      <w:pPr>
        <w:pStyle w:val="Corpodetexto"/>
        <w:ind w:left="0" w:firstLine="0"/>
        <w:jc w:val="left"/>
        <w:rPr>
          <w:i/>
          <w:sz w:val="5"/>
        </w:rPr>
      </w:pPr>
      <w:r>
        <w:rPr>
          <w:i/>
          <w:noProof/>
          <w:sz w:val="5"/>
        </w:rPr>
        <mc:AlternateContent>
          <mc:Choice Requires="wps">
            <w:drawing>
              <wp:anchor distT="0" distB="0" distL="0" distR="0" simplePos="0" relativeHeight="487587840" behindDoc="1" locked="0" layoutInCell="1" allowOverlap="1" wp14:anchorId="538861A2" wp14:editId="321660D7">
                <wp:simplePos x="0" y="0"/>
                <wp:positionH relativeFrom="page">
                  <wp:posOffset>431999</wp:posOffset>
                </wp:positionH>
                <wp:positionV relativeFrom="paragraph">
                  <wp:posOffset>51793</wp:posOffset>
                </wp:positionV>
                <wp:extent cx="6696075" cy="14604"/>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4604"/>
                        </a:xfrm>
                        <a:custGeom>
                          <a:avLst/>
                          <a:gdLst/>
                          <a:ahLst/>
                          <a:cxnLst/>
                          <a:rect l="l" t="t" r="r" b="b"/>
                          <a:pathLst>
                            <a:path w="6696075" h="14604">
                              <a:moveTo>
                                <a:pt x="6695998" y="14287"/>
                              </a:moveTo>
                              <a:lnTo>
                                <a:pt x="0" y="14287"/>
                              </a:lnTo>
                              <a:lnTo>
                                <a:pt x="0" y="0"/>
                              </a:lnTo>
                              <a:lnTo>
                                <a:pt x="6695998" y="0"/>
                              </a:lnTo>
                              <a:lnTo>
                                <a:pt x="6695998" y="14287"/>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B707C54" id="Graphic 1" o:spid="_x0000_s1026" style="position:absolute;margin-left:34pt;margin-top:4.1pt;width:527.25pt;height:1.15pt;z-index:-15728640;visibility:visible;mso-wrap-style:square;mso-wrap-distance-left:0;mso-wrap-distance-top:0;mso-wrap-distance-right:0;mso-wrap-distance-bottom:0;mso-position-horizontal:absolute;mso-position-horizontal-relative:page;mso-position-vertical:absolute;mso-position-vertical-relative:text;v-text-anchor:top" coordsize="6696075,14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" path="m6695998,14287l,14287,,,6695998,r,14287xe" fillcolor="black" stroked="f">
                <v:path arrowok="t"/>
                <w10:wrap type="topAndBottom" anchorx="page"/>
              </v:shape>
            </w:pict>
          </mc:Fallback>
        </mc:AlternateContent>
      </w:r>
    </w:p>
    <w:p w14:paraId="5E05007E" w14:textId="77777777" w:rsidR="00081C6A" w:rsidRDefault="00081C6A">
      <w:pPr>
        <w:pStyle w:val="Corpodetexto"/>
        <w:spacing w:before="1"/>
        <w:ind w:left="0" w:firstLine="0"/>
        <w:jc w:val="left"/>
        <w:rPr>
          <w:i/>
          <w:sz w:val="6"/>
        </w:rPr>
      </w:pPr>
    </w:p>
    <w:p w14:paraId="00F0CBCD" w14:textId="77777777" w:rsidR="00081C6A" w:rsidRDefault="00081C6A">
      <w:pPr>
        <w:pStyle w:val="Corpodetexto"/>
        <w:jc w:val="left"/>
        <w:rPr>
          <w:i/>
          <w:sz w:val="6"/>
        </w:rPr>
        <w:sectPr w:rsidR="00081C6A">
          <w:type w:val="continuous"/>
          <w:pgSz w:w="11910" w:h="16840"/>
          <w:pgMar w:top="600" w:right="566" w:bottom="280" w:left="566" w:header="720" w:footer="720" w:gutter="0"/>
          <w:cols w:space="720"/>
        </w:sectPr>
      </w:pPr>
    </w:p>
    <w:p w14:paraId="30C72BC6" w14:textId="1E447746" w:rsidR="00081C6A" w:rsidRDefault="0093716B">
      <w:pPr>
        <w:pStyle w:val="Ttulo1"/>
        <w:numPr>
          <w:ilvl w:val="0"/>
          <w:numId w:val="1"/>
        </w:numPr>
        <w:tabs>
          <w:tab w:val="left" w:pos="505"/>
          <w:tab w:val="left" w:pos="1969"/>
          <w:tab w:val="left" w:pos="3421"/>
        </w:tabs>
        <w:spacing w:before="144" w:line="256" w:lineRule="auto"/>
        <w:ind w:right="38" w:firstLine="0"/>
      </w:pPr>
      <w:r>
        <w:rPr>
          <w:spacing w:val="-2"/>
        </w:rPr>
        <w:t>APRESENTAÇÃO</w:t>
      </w:r>
      <w:r>
        <w:tab/>
      </w:r>
      <w:r>
        <w:rPr>
          <w:spacing w:val="-2"/>
        </w:rPr>
        <w:t>INSTITUCIONAL</w:t>
      </w:r>
      <w:r>
        <w:tab/>
      </w:r>
      <w:r>
        <w:rPr>
          <w:spacing w:val="-10"/>
        </w:rPr>
        <w:t>E</w:t>
      </w:r>
      <w:r>
        <w:rPr>
          <w:spacing w:val="40"/>
        </w:rPr>
        <w:t xml:space="preserve"> </w:t>
      </w:r>
      <w:r>
        <w:t>CONTEXTO</w:t>
      </w:r>
      <w:r>
        <w:rPr>
          <w:spacing w:val="-4"/>
        </w:rPr>
        <w:t xml:space="preserve"> </w:t>
      </w:r>
      <w:r>
        <w:t>OPERACIONAL</w:t>
      </w:r>
    </w:p>
    <w:p w14:paraId="63E71C87" w14:textId="77777777" w:rsidR="00081C6A" w:rsidRDefault="0093716B">
      <w:pPr>
        <w:pStyle w:val="Corpodetexto"/>
        <w:spacing w:line="20" w:lineRule="exact"/>
        <w:ind w:firstLine="0"/>
        <w:jc w:val="left"/>
        <w:rPr>
          <w:sz w:val="2"/>
        </w:rPr>
      </w:pPr>
      <w:r>
        <w:rPr>
          <w:noProof/>
          <w:sz w:val="2"/>
        </w:rPr>
        <mc:AlternateContent>
          <mc:Choice Requires="wpg">
            <w:drawing>
              <wp:inline distT="0" distB="0" distL="0" distR="0" wp14:anchorId="59378092" wp14:editId="414C58B3">
                <wp:extent cx="2151380" cy="5080"/>
                <wp:effectExtent l="0" t="0" r="0" b="0"/>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1380" cy="5080"/>
                          <a:chOff x="0" y="0"/>
                          <a:chExt cx="2151380" cy="5080"/>
                        </a:xfrm>
                      </wpg:grpSpPr>
                      <wps:wsp>
                        <wps:cNvPr id="4" name="Graphic 4"/>
                        <wps:cNvSpPr/>
                        <wps:spPr>
                          <a:xfrm>
                            <a:off x="0" y="0"/>
                            <a:ext cx="2151380" cy="5080"/>
                          </a:xfrm>
                          <a:custGeom>
                            <a:avLst/>
                            <a:gdLst/>
                            <a:ahLst/>
                            <a:cxnLst/>
                            <a:rect l="l" t="t" r="r" b="b"/>
                            <a:pathLst>
                              <a:path w="2151380" h="5080">
                                <a:moveTo>
                                  <a:pt x="2151040" y="4762"/>
                                </a:moveTo>
                                <a:lnTo>
                                  <a:pt x="0" y="4762"/>
                                </a:lnTo>
                                <a:lnTo>
                                  <a:pt x="0" y="0"/>
                                </a:lnTo>
                                <a:lnTo>
                                  <a:pt x="2151040" y="0"/>
                                </a:lnTo>
                                <a:lnTo>
                                  <a:pt x="2151040" y="476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53438CA2" id="Group 3" o:spid="_x0000_s1026" style="width:169.4pt;height:.4pt;mso-position-horizontal-relative:char;mso-position-vertical-relative:line" coordsize="215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">
                <v:shape id="Graphic 4" o:spid="_x0000_s1027" style="position:absolute;width:21513;height:50;visibility:visible;mso-wrap-style:square;v-text-anchor:top" coordsize="21513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" path="m2151040,4762l,4762,,,2151040,r,4762xe" fillcolor="black" stroked="f">
                  <v:path arrowok="t"/>
                </v:shape>
                <w10:anchorlock/>
              </v:group>
            </w:pict>
          </mc:Fallback>
        </mc:AlternateContent>
      </w:r>
    </w:p>
    <w:p w14:paraId="53E898B0" w14:textId="4400184F" w:rsidR="00081C6A" w:rsidRDefault="0000007F">
      <w:pPr>
        <w:pStyle w:val="Corpodetexto"/>
        <w:spacing w:before="78" w:line="261" w:lineRule="auto"/>
        <w:ind w:right="46"/>
      </w:pPr>
      <w:r w:rsidRPr="0000007F">
        <w:rPr>
          <w:w w:val="105"/>
        </w:rPr>
        <w:t>A Companhia de Cultura e Turismo de Maricá – CTMAR (MARÉ) é sociedade de economia mista de capital fechado, integrante da Administração Pública Indireta do Município de Maricá, criada pela Lei Municipal nº 3.564/2025. Sua constituição ocorreu em 02/12/2025, tendo por finalidade promover ações de desenvolvimento da cultura e do turismo no município.</w:t>
      </w:r>
      <w:r w:rsidR="00307B90">
        <w:rPr>
          <w:w w:val="105"/>
        </w:rPr>
        <w:t xml:space="preserve"> </w:t>
      </w:r>
      <w:r w:rsidR="008B2824" w:rsidRPr="008B2824">
        <w:rPr>
          <w:w w:val="105"/>
        </w:rPr>
        <w:t>No encerramento do exercício de 2025, a Companhia encontrava-se em fase pré-operacional, dedicando-se à estruturação administrativa, financeira, contábil e institucional necessária ao início de suas atividades. Em razão de sua constituição ter ocorrido em 02/12/2025, não houve contratação de pessoal, execução de despesas operacionais ou desenvolvimento de atividades finalísticas no exercício.</w:t>
      </w:r>
    </w:p>
    <w:p w14:paraId="1D36736D" w14:textId="77777777" w:rsidR="00081C6A" w:rsidRDefault="0093716B">
      <w:pPr>
        <w:pStyle w:val="Ttulo1"/>
        <w:numPr>
          <w:ilvl w:val="0"/>
          <w:numId w:val="1"/>
        </w:numPr>
        <w:tabs>
          <w:tab w:val="left" w:pos="576"/>
          <w:tab w:val="left" w:pos="1307"/>
          <w:tab w:val="left" w:pos="1861"/>
          <w:tab w:val="left" w:pos="3213"/>
        </w:tabs>
        <w:spacing w:before="91" w:line="256" w:lineRule="auto"/>
        <w:ind w:right="53" w:firstLine="0"/>
      </w:pPr>
      <w:r>
        <w:rPr>
          <w:spacing w:val="-4"/>
        </w:rPr>
        <w:t>BASE</w:t>
      </w:r>
      <w:r>
        <w:tab/>
      </w:r>
      <w:r>
        <w:rPr>
          <w:spacing w:val="-6"/>
        </w:rPr>
        <w:t>DE</w:t>
      </w:r>
      <w:r>
        <w:tab/>
      </w:r>
      <w:r>
        <w:rPr>
          <w:spacing w:val="-2"/>
        </w:rPr>
        <w:t>PREPARAÇÃO</w:t>
      </w:r>
      <w:r>
        <w:tab/>
      </w:r>
      <w:r>
        <w:rPr>
          <w:spacing w:val="-4"/>
        </w:rPr>
        <w:t>DAS</w:t>
      </w:r>
      <w:r>
        <w:rPr>
          <w:spacing w:val="40"/>
        </w:rPr>
        <w:t xml:space="preserve"> </w:t>
      </w:r>
      <w:r>
        <w:t>DEMONSTRAÇÕES</w:t>
      </w:r>
      <w:r>
        <w:rPr>
          <w:spacing w:val="-6"/>
        </w:rPr>
        <w:t xml:space="preserve"> </w:t>
      </w:r>
      <w:r>
        <w:t>CONTÁBEIS</w:t>
      </w:r>
    </w:p>
    <w:p w14:paraId="4CF6EE1F" w14:textId="77777777" w:rsidR="00081C6A" w:rsidRDefault="0093716B">
      <w:pPr>
        <w:pStyle w:val="Corpodetexto"/>
        <w:spacing w:line="20" w:lineRule="exact"/>
        <w:ind w:firstLine="0"/>
        <w:jc w:val="left"/>
        <w:rPr>
          <w:sz w:val="2"/>
        </w:rPr>
      </w:pPr>
      <w:r>
        <w:rPr>
          <w:noProof/>
          <w:sz w:val="2"/>
        </w:rPr>
        <mc:AlternateContent>
          <mc:Choice Requires="wpg">
            <w:drawing>
              <wp:inline distT="0" distB="0" distL="0" distR="0" wp14:anchorId="28F3A7F1" wp14:editId="267E8505">
                <wp:extent cx="2151380" cy="5080"/>
                <wp:effectExtent l="0" t="0" r="0" b="0"/>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1380" cy="5080"/>
                          <a:chOff x="0" y="0"/>
                          <a:chExt cx="2151380" cy="5080"/>
                        </a:xfrm>
                      </wpg:grpSpPr>
                      <wps:wsp>
                        <wps:cNvPr id="6" name="Graphic 6"/>
                        <wps:cNvSpPr/>
                        <wps:spPr>
                          <a:xfrm>
                            <a:off x="0" y="0"/>
                            <a:ext cx="2151380" cy="5080"/>
                          </a:xfrm>
                          <a:custGeom>
                            <a:avLst/>
                            <a:gdLst/>
                            <a:ahLst/>
                            <a:cxnLst/>
                            <a:rect l="l" t="t" r="r" b="b"/>
                            <a:pathLst>
                              <a:path w="2151380" h="5080">
                                <a:moveTo>
                                  <a:pt x="2151040" y="4762"/>
                                </a:moveTo>
                                <a:lnTo>
                                  <a:pt x="0" y="4762"/>
                                </a:lnTo>
                                <a:lnTo>
                                  <a:pt x="0" y="0"/>
                                </a:lnTo>
                                <a:lnTo>
                                  <a:pt x="2151040" y="0"/>
                                </a:lnTo>
                                <a:lnTo>
                                  <a:pt x="2151040" y="476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3F3DD8A7" id="Group 5" o:spid="_x0000_s1026" style="width:169.4pt;height:.4pt;mso-position-horizontal-relative:char;mso-position-vertical-relative:line" coordsize="2151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">
                <v:shape id="Graphic 6" o:spid="_x0000_s1027" style="position:absolute;width:21513;height:50;visibility:visible;mso-wrap-style:square;v-text-anchor:top" coordsize="2151380,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" path="m2151040,4762l,4762,,,2151040,r,4762xe" fillcolor="black" stroked="f">
                  <v:path arrowok="t"/>
                </v:shape>
                <w10:anchorlock/>
              </v:group>
            </w:pict>
          </mc:Fallback>
        </mc:AlternateContent>
      </w:r>
    </w:p>
    <w:p w14:paraId="37C0C548" w14:textId="15520E28" w:rsidR="00081C6A" w:rsidRDefault="00C87F0A" w:rsidP="0000007F">
      <w:pPr>
        <w:pStyle w:val="Corpodetexto"/>
        <w:spacing w:before="35" w:line="261" w:lineRule="auto"/>
        <w:ind w:right="39"/>
      </w:pPr>
      <w:r w:rsidRPr="00C87F0A">
        <w:rPr>
          <w:w w:val="105"/>
        </w:rPr>
        <w:t>As demonstrações contábeis foram elaboradas em conformidade com a Lei nº 6.404/1976, Lei nº 13.303/2016, NBC TSP, MCASP e demais normas aplicáveis ao setor público. Os ativos e passivos foram mensurados pelo custo histórico. Em razão da fase pré-operacional, não houve registros de depreciação, amortização ou provisões relevantes no exercício. Por se tratar do primeiro exercício social da Companhia, não existem saldos comparativos de exercícios anteriores. As presentes Notas Explicativas contemplam os elementos mínimos de divulgação exigidos pela Estrutura Conceitual para Elaboração e Divulgação de Relatório Contábil de Propósito Geral das Entidades do Setor Público, pelas Normas Brasileiras de Contabilidade Aplicadas ao Setor Público (NBC TSP), pelo Manual de Contabilidade Aplicada ao Setor Público (MCASP) e pelo Comunicado Técnico CTSP 02</w:t>
      </w:r>
      <w:r w:rsidR="008B2824" w:rsidRPr="008B2824">
        <w:rPr>
          <w:w w:val="105"/>
        </w:rPr>
        <w:t>.</w:t>
      </w:r>
    </w:p>
    <w:p w14:paraId="795D2E2C" w14:textId="56DAADA5" w:rsidR="00081C6A" w:rsidRDefault="0000007F">
      <w:pPr>
        <w:pStyle w:val="Ttulo1"/>
        <w:numPr>
          <w:ilvl w:val="0"/>
          <w:numId w:val="1"/>
        </w:numPr>
        <w:tabs>
          <w:tab w:val="left" w:pos="414"/>
          <w:tab w:val="left" w:pos="3381"/>
        </w:tabs>
        <w:spacing w:line="256" w:lineRule="auto"/>
        <w:ind w:right="44" w:firstLine="0"/>
      </w:pPr>
      <w:r>
        <w:rPr>
          <w:u w:val="single"/>
        </w:rPr>
        <w:t>PRINCIPAIS INFORMAÇÕES</w:t>
      </w:r>
      <w:r>
        <w:rPr>
          <w:spacing w:val="4"/>
          <w:u w:val="single"/>
        </w:rPr>
        <w:t xml:space="preserve"> </w:t>
      </w:r>
      <w:r>
        <w:rPr>
          <w:spacing w:val="-2"/>
          <w:u w:val="single"/>
        </w:rPr>
        <w:t>PATRIMONIAIS</w:t>
      </w:r>
    </w:p>
    <w:p w14:paraId="7C75D9FF" w14:textId="4FA44ED6" w:rsidR="00081C6A" w:rsidRPr="0000007F" w:rsidRDefault="0093716B" w:rsidP="0000007F">
      <w:pPr>
        <w:pStyle w:val="Corpodetexto"/>
        <w:spacing w:before="56" w:line="261" w:lineRule="auto"/>
        <w:ind w:right="44"/>
        <w:rPr>
          <w:w w:val="105"/>
        </w:rPr>
      </w:pPr>
      <w:r>
        <w:rPr>
          <w:b/>
          <w:w w:val="105"/>
        </w:rPr>
        <w:t xml:space="preserve">Nota </w:t>
      </w:r>
      <w:r w:rsidR="0000007F">
        <w:rPr>
          <w:b/>
          <w:w w:val="105"/>
        </w:rPr>
        <w:t>01</w:t>
      </w:r>
      <w:r>
        <w:rPr>
          <w:b/>
          <w:w w:val="105"/>
        </w:rPr>
        <w:t xml:space="preserve"> - Caixa e Equivalentes de Caixa: </w:t>
      </w:r>
      <w:r w:rsidR="00E77740" w:rsidRPr="00E77740">
        <w:rPr>
          <w:w w:val="105"/>
        </w:rPr>
        <w:t>O saldo de Caixa e Equivalentes de Caixa em 31/12/2025 totalizou R$ 1.000.000,00, correspondente à integralização parcial do capital social realizada pelo Município de Maricá em 30/12/2025. Os recursos permaneceram integralmente disponíveis ao final do exercício, não havendo movimentações financeiras relevantes em razão da fase pré-operacional da Companhia.</w:t>
      </w:r>
      <w:r w:rsidR="00E77740">
        <w:rPr>
          <w:w w:val="105"/>
        </w:rPr>
        <w:t xml:space="preserve"> </w:t>
      </w:r>
      <w:r>
        <w:rPr>
          <w:b/>
          <w:w w:val="105"/>
        </w:rPr>
        <w:t xml:space="preserve">Nota </w:t>
      </w:r>
      <w:r w:rsidR="0000007F">
        <w:rPr>
          <w:b/>
          <w:w w:val="105"/>
        </w:rPr>
        <w:t>02</w:t>
      </w:r>
      <w:r>
        <w:rPr>
          <w:b/>
          <w:w w:val="105"/>
        </w:rPr>
        <w:t xml:space="preserve"> - </w:t>
      </w:r>
      <w:r w:rsidR="0000007F">
        <w:rPr>
          <w:b/>
          <w:w w:val="105"/>
        </w:rPr>
        <w:t>Estoques</w:t>
      </w:r>
      <w:r>
        <w:rPr>
          <w:b/>
          <w:w w:val="105"/>
        </w:rPr>
        <w:t>:</w:t>
      </w:r>
      <w:r>
        <w:rPr>
          <w:b/>
          <w:spacing w:val="40"/>
          <w:w w:val="105"/>
        </w:rPr>
        <w:t xml:space="preserve"> </w:t>
      </w:r>
      <w:r w:rsidR="00E77740" w:rsidRPr="00E77740">
        <w:rPr>
          <w:w w:val="105"/>
        </w:rPr>
        <w:t>A Companhia não possuía estoques registrados ao final do exercício, tendo em vista que ainda não havia iniciado suas atividades operacionais</w:t>
      </w:r>
      <w:r w:rsidR="0000007F" w:rsidRPr="0000007F">
        <w:rPr>
          <w:w w:val="105"/>
        </w:rPr>
        <w:t>.</w:t>
      </w:r>
      <w:r w:rsidR="0000007F">
        <w:rPr>
          <w:w w:val="105"/>
        </w:rPr>
        <w:t xml:space="preserve"> </w:t>
      </w:r>
      <w:r w:rsidR="0000007F" w:rsidRPr="0000007F">
        <w:rPr>
          <w:b/>
          <w:bCs/>
          <w:w w:val="105"/>
        </w:rPr>
        <w:t>Nota 03 – Imobilizado e Intangível</w:t>
      </w:r>
      <w:r w:rsidR="0000007F">
        <w:rPr>
          <w:b/>
          <w:bCs/>
          <w:w w:val="105"/>
        </w:rPr>
        <w:t xml:space="preserve">: </w:t>
      </w:r>
      <w:r w:rsidR="00DA5EAC" w:rsidRPr="00DA5EAC">
        <w:rPr>
          <w:w w:val="105"/>
        </w:rPr>
        <w:t>Não houve aquisição ou registro de bens móveis, imóveis ou ativos intangíveis durante o exercício de 2025. A administração encontra-se em processo de estruturação patrimonial e operacional para suporte às atividades futuras da Companhia</w:t>
      </w:r>
      <w:r w:rsidR="0000007F" w:rsidRPr="0000007F">
        <w:rPr>
          <w:w w:val="105"/>
        </w:rPr>
        <w:t>.</w:t>
      </w:r>
      <w:r w:rsidR="0000007F">
        <w:rPr>
          <w:w w:val="105"/>
        </w:rPr>
        <w:t xml:space="preserve"> </w:t>
      </w:r>
      <w:r w:rsidR="0000007F" w:rsidRPr="0000007F">
        <w:rPr>
          <w:b/>
          <w:bCs/>
          <w:w w:val="105"/>
        </w:rPr>
        <w:t>Nota 04 – Patrimônio Líquido</w:t>
      </w:r>
      <w:r w:rsidR="0000007F">
        <w:rPr>
          <w:b/>
          <w:bCs/>
          <w:w w:val="105"/>
        </w:rPr>
        <w:t xml:space="preserve">: </w:t>
      </w:r>
      <w:r w:rsidR="00DA5EAC" w:rsidRPr="00DA5EAC">
        <w:rPr>
          <w:w w:val="105"/>
        </w:rPr>
        <w:t xml:space="preserve">O capital social autorizado da Companhia é de R$ 100.000.000,00, conforme disposto em seu ato constitutivo, dos quais R$ 1.000.000,00 encontravam-se integralizados até 31/12/2025. O patrimônio líquido da entidade corresponde integralmente ao valor efetivamente integralizado pelo acionista controlador. </w:t>
      </w:r>
      <w:r w:rsidR="00967955" w:rsidRPr="00967955">
        <w:rPr>
          <w:w w:val="105"/>
        </w:rPr>
        <w:t>As futuras integralizações dependerão das deliberações do acionista controlador, observadas as disposições legais, orçamentárias e estatutárias aplicáveis.</w:t>
      </w:r>
      <w:r w:rsidR="00F659ED">
        <w:rPr>
          <w:w w:val="105"/>
        </w:rPr>
        <w:t xml:space="preserve"> </w:t>
      </w:r>
      <w:r w:rsidR="00F659ED" w:rsidRPr="00F659ED">
        <w:rPr>
          <w:b/>
          <w:bCs/>
          <w:w w:val="105"/>
        </w:rPr>
        <w:t>Nota 05 – Contingências, Provisões e Passivos Contingentes:</w:t>
      </w:r>
      <w:r w:rsidR="00F659ED" w:rsidRPr="00F659ED">
        <w:rPr>
          <w:w w:val="105"/>
        </w:rPr>
        <w:t xml:space="preserve"> Em 31/12/2025, a Companhia não possuía processos judiciais, administrativos ou arbitrais em curso, nem contingências passivas ou ativas a serem registradas ou divulgadas. Não existem garantias prestadas ou recebidas, avais, fianças ou outras obrigações contingentes. A Companhia adotará, quando aplicável, os critérios estabelecidos pela NBC TSP 03 para reconhecimento e mensuração de provisões e passivos contingentes.</w:t>
      </w:r>
    </w:p>
    <w:p w14:paraId="4F1C5950" w14:textId="499BDE6F" w:rsidR="00081C6A" w:rsidRDefault="00307B90">
      <w:pPr>
        <w:pStyle w:val="Ttulo1"/>
        <w:numPr>
          <w:ilvl w:val="0"/>
          <w:numId w:val="1"/>
        </w:numPr>
        <w:tabs>
          <w:tab w:val="left" w:pos="356"/>
        </w:tabs>
        <w:spacing w:line="256" w:lineRule="auto"/>
        <w:ind w:firstLine="0"/>
      </w:pPr>
      <w:r>
        <w:t>DEMONSTRAÇÕES PATRIMONIAIS E ORÇAMENTÁRIAS</w:t>
      </w:r>
    </w:p>
    <w:p w14:paraId="0D9B31C0" w14:textId="77777777" w:rsidR="00081C6A" w:rsidRDefault="0093716B">
      <w:pPr>
        <w:pStyle w:val="Corpodetexto"/>
        <w:spacing w:line="20" w:lineRule="exact"/>
        <w:ind w:firstLine="0"/>
        <w:jc w:val="left"/>
        <w:rPr>
          <w:sz w:val="2"/>
        </w:rPr>
      </w:pPr>
      <w:r>
        <w:rPr>
          <w:noProof/>
          <w:sz w:val="2"/>
        </w:rPr>
        <mc:AlternateContent>
          <mc:Choice Requires="wpg">
            <w:drawing>
              <wp:inline distT="0" distB="0" distL="0" distR="0" wp14:anchorId="673B4842" wp14:editId="684FF2ED">
                <wp:extent cx="2155825" cy="5080"/>
                <wp:effectExtent l="0" t="0" r="0" b="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5825" cy="5080"/>
                          <a:chOff x="0" y="0"/>
                          <a:chExt cx="2155825" cy="5080"/>
                        </a:xfrm>
                      </wpg:grpSpPr>
                      <wps:wsp>
                        <wps:cNvPr id="11" name="Graphic 11"/>
                        <wps:cNvSpPr/>
                        <wps:spPr>
                          <a:xfrm>
                            <a:off x="0" y="0"/>
                            <a:ext cx="2155825" cy="5080"/>
                          </a:xfrm>
                          <a:custGeom>
                            <a:avLst/>
                            <a:gdLst/>
                            <a:ahLst/>
                            <a:cxnLst/>
                            <a:rect l="l" t="t" r="r" b="b"/>
                            <a:pathLst>
                              <a:path w="2155825" h="5080">
                                <a:moveTo>
                                  <a:pt x="2155802" y="4762"/>
                                </a:moveTo>
                                <a:lnTo>
                                  <a:pt x="0" y="4762"/>
                                </a:lnTo>
                                <a:lnTo>
                                  <a:pt x="0" y="0"/>
                                </a:lnTo>
                                <a:lnTo>
                                  <a:pt x="2155802" y="0"/>
                                </a:lnTo>
                                <a:lnTo>
                                  <a:pt x="2155802" y="476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65DD6439" id="Group 10" o:spid="_x0000_s1026" style="width:169.75pt;height:.4pt;mso-position-horizontal-relative:char;mso-position-vertical-relative:line" coordsize="2155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">
                <v:shape id="Graphic 11" o:spid="_x0000_s1027" style="position:absolute;width:21558;height:50;visibility:visible;mso-wrap-style:square;v-text-anchor:top" coordsize="2155825,5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" path="m2155802,4762l,4762,,,2155802,r,4762xe" fillcolor="black" stroked="f">
                  <v:path arrowok="t"/>
                </v:shape>
                <w10:anchorlock/>
              </v:group>
            </w:pict>
          </mc:Fallback>
        </mc:AlternateContent>
      </w:r>
    </w:p>
    <w:p w14:paraId="157FD236" w14:textId="77A87E63" w:rsidR="00E029CE" w:rsidRPr="00E029CE" w:rsidRDefault="00307B90" w:rsidP="000B77A1">
      <w:pPr>
        <w:pStyle w:val="Corpodetexto"/>
        <w:spacing w:before="35" w:line="261" w:lineRule="auto"/>
        <w:ind w:right="104" w:firstLine="0"/>
        <w:rPr>
          <w:b/>
          <w:bCs/>
          <w:sz w:val="17"/>
        </w:rPr>
      </w:pPr>
      <w:r w:rsidRPr="00307B90">
        <w:rPr>
          <w:b/>
          <w:w w:val="105"/>
        </w:rPr>
        <w:t>Nota 0</w:t>
      </w:r>
      <w:r w:rsidR="000B77A1">
        <w:rPr>
          <w:b/>
          <w:w w:val="105"/>
        </w:rPr>
        <w:t>6</w:t>
      </w:r>
      <w:r w:rsidRPr="00307B90">
        <w:rPr>
          <w:b/>
          <w:w w:val="105"/>
        </w:rPr>
        <w:t xml:space="preserve"> – Resultado Patrimonial</w:t>
      </w:r>
      <w:r>
        <w:rPr>
          <w:b/>
          <w:w w:val="105"/>
        </w:rPr>
        <w:t>:</w:t>
      </w:r>
      <w:r>
        <w:rPr>
          <w:b/>
          <w:spacing w:val="40"/>
          <w:w w:val="105"/>
        </w:rPr>
        <w:t xml:space="preserve"> </w:t>
      </w:r>
      <w:r w:rsidR="00E029CE" w:rsidRPr="00E029CE">
        <w:rPr>
          <w:w w:val="105"/>
        </w:rPr>
        <w:t>Não ocorreram Variações Patrimoniais Aumentativas ou Diminutivas no exercício de 2025, resultando em Resultado Patrimonial nulo. Tal situação decorre do fato de a Companhia encontrar-se em fase pré-operacional durante todo o período</w:t>
      </w:r>
      <w:r w:rsidRPr="00307B90">
        <w:rPr>
          <w:w w:val="105"/>
        </w:rPr>
        <w:t>.</w:t>
      </w:r>
      <w:r>
        <w:rPr>
          <w:w w:val="105"/>
        </w:rPr>
        <w:t xml:space="preserve"> </w:t>
      </w:r>
      <w:r w:rsidRPr="00307B90">
        <w:rPr>
          <w:b/>
          <w:w w:val="105"/>
        </w:rPr>
        <w:t>Nota 0</w:t>
      </w:r>
      <w:r w:rsidR="000B77A1">
        <w:rPr>
          <w:b/>
          <w:w w:val="105"/>
        </w:rPr>
        <w:t>7</w:t>
      </w:r>
      <w:r w:rsidRPr="00307B90">
        <w:rPr>
          <w:b/>
          <w:w w:val="105"/>
        </w:rPr>
        <w:t xml:space="preserve"> – Execução Orçamentária</w:t>
      </w:r>
      <w:r>
        <w:rPr>
          <w:b/>
          <w:w w:val="105"/>
        </w:rPr>
        <w:t>:</w:t>
      </w:r>
      <w:r>
        <w:rPr>
          <w:b/>
          <w:spacing w:val="40"/>
          <w:w w:val="105"/>
        </w:rPr>
        <w:t xml:space="preserve"> </w:t>
      </w:r>
      <w:r w:rsidR="00916ED4" w:rsidRPr="00916ED4">
        <w:rPr>
          <w:w w:val="105"/>
        </w:rPr>
        <w:t>A unidade orçamentária da Companhia foi criada pela Lei Municipal nº 3.618/2025, com dotação atualizada de R$ 1.365.000,00, sendo R$ 1.345.000,00 para despesas correntes (R$ 1.120.000,00 em Pessoal e Encargos Sociais e R$ 225.000,00 em Outras Despesas Correntes) e R$ 20.000,00 para despesas de capital (Investimentos). Não houve execução de despesas no exercício.</w:t>
      </w:r>
      <w:r w:rsidR="00E029CE" w:rsidRPr="00E029CE">
        <w:rPr>
          <w:w w:val="105"/>
        </w:rPr>
        <w:t xml:space="preserve"> </w:t>
      </w:r>
      <w:r w:rsidRPr="00307B90">
        <w:rPr>
          <w:b/>
          <w:bCs/>
          <w:w w:val="105"/>
        </w:rPr>
        <w:t>Nota 0</w:t>
      </w:r>
      <w:r w:rsidR="000B77A1">
        <w:rPr>
          <w:b/>
          <w:bCs/>
          <w:w w:val="105"/>
        </w:rPr>
        <w:t>8</w:t>
      </w:r>
      <w:r w:rsidRPr="00307B90">
        <w:rPr>
          <w:b/>
          <w:bCs/>
          <w:w w:val="105"/>
        </w:rPr>
        <w:t xml:space="preserve"> – Resultado Orçamentário</w:t>
      </w:r>
      <w:r>
        <w:rPr>
          <w:b/>
          <w:bCs/>
          <w:w w:val="105"/>
        </w:rPr>
        <w:t xml:space="preserve">: </w:t>
      </w:r>
      <w:r w:rsidR="008B2824" w:rsidRPr="008B2824">
        <w:rPr>
          <w:w w:val="105"/>
        </w:rPr>
        <w:t>O resultado orçamentário do exercício apresentou superávit de R$ 1.000.000,00, decorrente exclusivamente da integralização inicial do capital social realizada pelo Município de Maricá, não tendo ocorrido execução de despesas no exercício</w:t>
      </w:r>
      <w:r w:rsidRPr="00307B90">
        <w:rPr>
          <w:w w:val="105"/>
        </w:rPr>
        <w:t>.</w:t>
      </w:r>
      <w:r>
        <w:rPr>
          <w:w w:val="105"/>
        </w:rPr>
        <w:t xml:space="preserve"> </w:t>
      </w:r>
      <w:r w:rsidRPr="00307B90">
        <w:rPr>
          <w:b/>
          <w:bCs/>
          <w:w w:val="105"/>
        </w:rPr>
        <w:t>Nota 0</w:t>
      </w:r>
      <w:r w:rsidR="000B77A1">
        <w:rPr>
          <w:b/>
          <w:bCs/>
          <w:w w:val="105"/>
        </w:rPr>
        <w:t>9</w:t>
      </w:r>
      <w:r w:rsidRPr="00307B90">
        <w:rPr>
          <w:b/>
          <w:bCs/>
          <w:w w:val="105"/>
        </w:rPr>
        <w:t xml:space="preserve"> – </w:t>
      </w:r>
      <w:r w:rsidRPr="00307B90">
        <w:rPr>
          <w:b/>
          <w:bCs/>
          <w:w w:val="105"/>
        </w:rPr>
        <w:t>Transferências Financeiras</w:t>
      </w:r>
      <w:r>
        <w:rPr>
          <w:b/>
          <w:bCs/>
          <w:w w:val="105"/>
        </w:rPr>
        <w:t xml:space="preserve">: </w:t>
      </w:r>
      <w:r w:rsidRPr="00307B90">
        <w:rPr>
          <w:w w:val="105"/>
        </w:rPr>
        <w:t>A Companhia recebeu transferência financeira da Prefeitura Municipal de Maricá no montante de R$ 1.000.000,00 referente à integralização inicial de capital social. Não houve transferências financeiras concedidas</w:t>
      </w:r>
      <w:r w:rsidR="00CC755B">
        <w:rPr>
          <w:w w:val="105"/>
        </w:rPr>
        <w:t xml:space="preserve">. </w:t>
      </w:r>
      <w:r w:rsidR="00CC755B" w:rsidRPr="00CC755B">
        <w:rPr>
          <w:b/>
          <w:bCs/>
          <w:w w:val="105"/>
        </w:rPr>
        <w:t>Nota 10 – Partes Relacionadas:</w:t>
      </w:r>
      <w:r w:rsidR="00CC755B" w:rsidRPr="00CC755B">
        <w:rPr>
          <w:w w:val="105"/>
        </w:rPr>
        <w:t xml:space="preserve"> </w:t>
      </w:r>
      <w:r w:rsidR="0011133F" w:rsidRPr="0011133F">
        <w:rPr>
          <w:w w:val="105"/>
        </w:rPr>
        <w:t>A Companhia é uma sociedade de economia mista de capital fechado, controlada pelo Município de Maricá, que detém a maioria do capital social votante. A composição acionária em 31/12/2025 é formada por dois acionistas, sendo o Município de Maricá o acionista controlador e detentor da parcela majoritária do capital social integralizado. Durante o exercício de 2025, a única transação com parte relacionada foi a integralização parcial de capital social no valor de R$ 1.000.000,00, realizada em 30/12/2025 pelo acionista controlador (Município de Maricá</w:t>
      </w:r>
      <w:r w:rsidR="00F057A6">
        <w:rPr>
          <w:w w:val="105"/>
        </w:rPr>
        <w:t>)</w:t>
      </w:r>
      <w:r w:rsidR="0011133F" w:rsidRPr="0011133F">
        <w:rPr>
          <w:w w:val="105"/>
        </w:rPr>
        <w:t>. Não houve remuneração de administradores no exercício, nem outras transações com partes relacionadas. A Companhia observa os requisitos de divulgação estabelecidos pela NBC TSP 07 – Ativo Imobilizado e demais normas aplicáveis às transações com partes relacionadas.</w:t>
      </w:r>
      <w:r w:rsidR="00E029CE">
        <w:rPr>
          <w:b/>
          <w:bCs/>
          <w:w w:val="105"/>
        </w:rPr>
        <w:t xml:space="preserve"> </w:t>
      </w:r>
      <w:r w:rsidR="00E029CE" w:rsidRPr="00E029CE">
        <w:rPr>
          <w:b/>
          <w:bCs/>
          <w:w w:val="105"/>
        </w:rPr>
        <w:t xml:space="preserve">Nota </w:t>
      </w:r>
      <w:r w:rsidR="00FE7EF6">
        <w:rPr>
          <w:b/>
          <w:bCs/>
          <w:w w:val="105"/>
        </w:rPr>
        <w:t>11</w:t>
      </w:r>
      <w:r w:rsidR="00E029CE" w:rsidRPr="00E029CE">
        <w:rPr>
          <w:b/>
          <w:bCs/>
          <w:w w:val="105"/>
        </w:rPr>
        <w:t xml:space="preserve"> – Balanço Financeiro</w:t>
      </w:r>
      <w:r w:rsidR="00E029CE">
        <w:rPr>
          <w:b/>
          <w:bCs/>
          <w:w w:val="105"/>
        </w:rPr>
        <w:t xml:space="preserve">: </w:t>
      </w:r>
      <w:r w:rsidR="00E029CE" w:rsidRPr="00E029CE">
        <w:rPr>
          <w:w w:val="105"/>
        </w:rPr>
        <w:t>O Ativo Financeiro da Companhia totalizou R$ 1.000.000,00 ao final do exercício, representado integralmente por disponibilidades financeiras. Não foram registrados passivos financeiros, resultando em superávit financeiro de R$ 1.000.000,00.</w:t>
      </w:r>
      <w:r w:rsidR="00E029CE">
        <w:rPr>
          <w:w w:val="105"/>
        </w:rPr>
        <w:t xml:space="preserve"> </w:t>
      </w:r>
      <w:r w:rsidR="00E029CE" w:rsidRPr="00E029CE">
        <w:rPr>
          <w:b/>
          <w:bCs/>
          <w:w w:val="105"/>
        </w:rPr>
        <w:t>Nota 1</w:t>
      </w:r>
      <w:r w:rsidR="00FE7EF6">
        <w:rPr>
          <w:b/>
          <w:bCs/>
          <w:w w:val="105"/>
        </w:rPr>
        <w:t>2</w:t>
      </w:r>
      <w:r w:rsidR="00E029CE" w:rsidRPr="00E029CE">
        <w:rPr>
          <w:b/>
          <w:bCs/>
          <w:w w:val="105"/>
        </w:rPr>
        <w:t xml:space="preserve"> – Demonstração dos Fluxos de Caixa:</w:t>
      </w:r>
      <w:r w:rsidR="00E029CE">
        <w:rPr>
          <w:b/>
          <w:bCs/>
          <w:w w:val="105"/>
        </w:rPr>
        <w:t xml:space="preserve"> </w:t>
      </w:r>
      <w:r w:rsidR="00E029CE" w:rsidRPr="00E029CE">
        <w:rPr>
          <w:w w:val="105"/>
        </w:rPr>
        <w:t>Os ingressos financeiros registrados no exercício decorreram exclusivamente da integralização inicial do capital social. Não ocorreram desembolsos financeiros no período, em razão da ausência de atividades operacionais e da fase inicial de implantação da Companhia.</w:t>
      </w:r>
    </w:p>
    <w:p w14:paraId="665593FC" w14:textId="7FCAD985" w:rsidR="00307B90" w:rsidRDefault="00307B90" w:rsidP="00307B90">
      <w:pPr>
        <w:pStyle w:val="Ttulo1"/>
        <w:numPr>
          <w:ilvl w:val="0"/>
          <w:numId w:val="1"/>
        </w:numPr>
        <w:tabs>
          <w:tab w:val="left" w:pos="356"/>
        </w:tabs>
        <w:spacing w:line="256" w:lineRule="auto"/>
        <w:ind w:firstLine="0"/>
        <w:rPr>
          <w:u w:val="single"/>
        </w:rPr>
      </w:pPr>
      <w:r w:rsidRPr="00307B90">
        <w:rPr>
          <w:u w:val="single"/>
        </w:rPr>
        <w:t>EVENTOS SUBSEQUENTES</w:t>
      </w:r>
    </w:p>
    <w:p w14:paraId="44DA1E73" w14:textId="6341FE64" w:rsidR="009A1CA0" w:rsidRDefault="00307B90" w:rsidP="00307B90">
      <w:pPr>
        <w:pStyle w:val="Corpodetexto"/>
        <w:spacing w:before="78" w:line="261" w:lineRule="auto"/>
        <w:ind w:right="46"/>
        <w:rPr>
          <w:w w:val="105"/>
        </w:rPr>
      </w:pPr>
      <w:r w:rsidRPr="00307B90">
        <w:rPr>
          <w:w w:val="105"/>
        </w:rPr>
        <w:t>No exercício de 2026 foram reconhecidas Despesas de Exercícios Anteriores (DEA) no valor total de R$ 132.124,96, referentes</w:t>
      </w:r>
      <w:r w:rsidR="003578EF">
        <w:rPr>
          <w:w w:val="105"/>
        </w:rPr>
        <w:t xml:space="preserve"> </w:t>
      </w:r>
      <w:r w:rsidR="00FD1E6E" w:rsidRPr="00FD1E6E">
        <w:rPr>
          <w:w w:val="105"/>
        </w:rPr>
        <w:t>a custos administrativos de implantação e formalização societária incorridos no exercício de 2025</w:t>
      </w:r>
      <w:r w:rsidR="00FD1E6E">
        <w:rPr>
          <w:w w:val="105"/>
        </w:rPr>
        <w:t xml:space="preserve">. </w:t>
      </w:r>
    </w:p>
    <w:p w14:paraId="390C2FFB" w14:textId="7A7DBD75" w:rsidR="00307B90" w:rsidRDefault="00307B90" w:rsidP="00307B90">
      <w:pPr>
        <w:pStyle w:val="Corpodetexto"/>
        <w:spacing w:before="78" w:line="261" w:lineRule="auto"/>
        <w:ind w:right="46"/>
        <w:rPr>
          <w:w w:val="105"/>
        </w:rPr>
      </w:pPr>
      <w:r w:rsidRPr="00307B90">
        <w:rPr>
          <w:w w:val="105"/>
        </w:rPr>
        <w:t>Tais eventos não demandaram ajustes nas demonstrações contábeis de 2025, sendo divulgados apenas para fins de transparência e evidenciação contábil.</w:t>
      </w:r>
    </w:p>
    <w:p w14:paraId="1ECED472" w14:textId="77777777" w:rsidR="00B77454" w:rsidRDefault="00B77454" w:rsidP="00307B90">
      <w:pPr>
        <w:pStyle w:val="Corpodetexto"/>
        <w:spacing w:before="78" w:line="261" w:lineRule="auto"/>
        <w:ind w:right="46"/>
        <w:rPr>
          <w:w w:val="105"/>
        </w:rPr>
      </w:pPr>
    </w:p>
    <w:p w14:paraId="1A4E4BAB" w14:textId="2A63146E" w:rsidR="00B77454" w:rsidRPr="00E94DA1" w:rsidRDefault="00B77454" w:rsidP="00B77454">
      <w:pPr>
        <w:spacing w:line="271" w:lineRule="auto"/>
        <w:ind w:left="2" w:firstLine="112"/>
        <w:rPr>
          <w:bCs/>
          <w:sz w:val="13"/>
        </w:rPr>
      </w:pPr>
      <w:r w:rsidRPr="00E94DA1">
        <w:rPr>
          <w:bCs/>
          <w:sz w:val="13"/>
        </w:rPr>
        <w:t>Maricá, 2</w:t>
      </w:r>
      <w:r>
        <w:rPr>
          <w:bCs/>
          <w:sz w:val="13"/>
        </w:rPr>
        <w:t>5 de março</w:t>
      </w:r>
      <w:r w:rsidRPr="00E94DA1">
        <w:rPr>
          <w:bCs/>
          <w:sz w:val="13"/>
        </w:rPr>
        <w:t xml:space="preserve"> de 2026</w:t>
      </w:r>
      <w:r>
        <w:rPr>
          <w:bCs/>
          <w:sz w:val="13"/>
        </w:rPr>
        <w:t>.</w:t>
      </w:r>
    </w:p>
    <w:p w14:paraId="14CE61A8" w14:textId="77777777" w:rsidR="008B2824" w:rsidRPr="00307B90" w:rsidRDefault="008B2824" w:rsidP="00307B90">
      <w:pPr>
        <w:pStyle w:val="Corpodetexto"/>
        <w:spacing w:before="78" w:line="261" w:lineRule="auto"/>
        <w:ind w:right="46"/>
        <w:rPr>
          <w:w w:val="105"/>
        </w:rPr>
      </w:pPr>
    </w:p>
    <w:p w14:paraId="480EB638" w14:textId="406CF966" w:rsidR="00081C6A" w:rsidRPr="006A7393" w:rsidRDefault="0093716B" w:rsidP="006A7393">
      <w:pPr>
        <w:spacing w:line="271" w:lineRule="auto"/>
        <w:ind w:left="2"/>
        <w:rPr>
          <w:b/>
          <w:sz w:val="13"/>
        </w:rPr>
      </w:pPr>
      <w:r>
        <w:rPr>
          <w:b/>
          <w:sz w:val="13"/>
        </w:rPr>
        <w:t>Antônio</w:t>
      </w:r>
      <w:r w:rsidRPr="006A7393">
        <w:rPr>
          <w:b/>
          <w:sz w:val="13"/>
        </w:rPr>
        <w:t xml:space="preserve"> </w:t>
      </w:r>
      <w:r>
        <w:rPr>
          <w:b/>
          <w:sz w:val="13"/>
        </w:rPr>
        <w:t>Carlos</w:t>
      </w:r>
      <w:r w:rsidRPr="006A7393">
        <w:rPr>
          <w:b/>
          <w:sz w:val="13"/>
        </w:rPr>
        <w:t xml:space="preserve"> </w:t>
      </w:r>
      <w:r>
        <w:rPr>
          <w:b/>
          <w:sz w:val="13"/>
        </w:rPr>
        <w:t>Grassi</w:t>
      </w:r>
      <w:r w:rsidRPr="006A7393">
        <w:rPr>
          <w:b/>
          <w:sz w:val="13"/>
        </w:rPr>
        <w:t xml:space="preserve"> </w:t>
      </w:r>
      <w:r>
        <w:rPr>
          <w:b/>
          <w:sz w:val="13"/>
        </w:rPr>
        <w:t>–</w:t>
      </w:r>
      <w:r w:rsidRPr="006A7393">
        <w:rPr>
          <w:b/>
          <w:sz w:val="13"/>
        </w:rPr>
        <w:t xml:space="preserve"> </w:t>
      </w:r>
      <w:r w:rsidRPr="006A7393">
        <w:rPr>
          <w:bCs/>
          <w:sz w:val="13"/>
        </w:rPr>
        <w:t>Diretor-Presidente</w:t>
      </w:r>
      <w:r w:rsidRPr="006A7393">
        <w:rPr>
          <w:b/>
          <w:sz w:val="13"/>
        </w:rPr>
        <w:t xml:space="preserve"> </w:t>
      </w:r>
      <w:r w:rsidR="00307B90">
        <w:rPr>
          <w:b/>
          <w:sz w:val="13"/>
        </w:rPr>
        <w:br/>
      </w:r>
      <w:r>
        <w:rPr>
          <w:b/>
          <w:sz w:val="13"/>
        </w:rPr>
        <w:t xml:space="preserve">Eduardo Figueiredo de Carvalho – </w:t>
      </w:r>
      <w:r w:rsidRPr="006A7393">
        <w:rPr>
          <w:bCs/>
          <w:sz w:val="13"/>
        </w:rPr>
        <w:t>Diretor de Gestão Interna</w:t>
      </w:r>
      <w:r w:rsidRPr="006A7393">
        <w:rPr>
          <w:b/>
          <w:sz w:val="13"/>
        </w:rPr>
        <w:t xml:space="preserve"> </w:t>
      </w:r>
    </w:p>
    <w:p w14:paraId="7771604D" w14:textId="3581B2DE" w:rsidR="00081C6A" w:rsidRPr="006A7393" w:rsidRDefault="0093716B" w:rsidP="006A7393">
      <w:pPr>
        <w:spacing w:line="271" w:lineRule="auto"/>
        <w:ind w:left="2"/>
        <w:rPr>
          <w:bCs/>
          <w:sz w:val="13"/>
        </w:rPr>
      </w:pPr>
      <w:r>
        <w:rPr>
          <w:b/>
          <w:sz w:val="13"/>
        </w:rPr>
        <w:t>Carlos</w:t>
      </w:r>
      <w:r>
        <w:rPr>
          <w:b/>
          <w:spacing w:val="-8"/>
          <w:sz w:val="13"/>
        </w:rPr>
        <w:t xml:space="preserve"> </w:t>
      </w:r>
      <w:r>
        <w:rPr>
          <w:b/>
          <w:sz w:val="13"/>
        </w:rPr>
        <w:t>Henrique</w:t>
      </w:r>
      <w:r>
        <w:rPr>
          <w:b/>
          <w:spacing w:val="-4"/>
          <w:sz w:val="13"/>
        </w:rPr>
        <w:t xml:space="preserve"> </w:t>
      </w:r>
      <w:r>
        <w:rPr>
          <w:b/>
          <w:sz w:val="13"/>
        </w:rPr>
        <w:t>de</w:t>
      </w:r>
      <w:r>
        <w:rPr>
          <w:b/>
          <w:spacing w:val="-9"/>
          <w:sz w:val="13"/>
        </w:rPr>
        <w:t xml:space="preserve"> </w:t>
      </w:r>
      <w:r>
        <w:rPr>
          <w:b/>
          <w:sz w:val="13"/>
        </w:rPr>
        <w:t>Araujo</w:t>
      </w:r>
      <w:r>
        <w:rPr>
          <w:b/>
          <w:spacing w:val="-3"/>
          <w:sz w:val="13"/>
        </w:rPr>
        <w:t xml:space="preserve"> </w:t>
      </w:r>
      <w:r>
        <w:rPr>
          <w:b/>
          <w:sz w:val="13"/>
        </w:rPr>
        <w:t>Junior</w:t>
      </w:r>
      <w:r>
        <w:rPr>
          <w:b/>
          <w:spacing w:val="-7"/>
          <w:sz w:val="13"/>
        </w:rPr>
        <w:t xml:space="preserve"> </w:t>
      </w:r>
      <w:r>
        <w:rPr>
          <w:b/>
          <w:sz w:val="13"/>
        </w:rPr>
        <w:t>–</w:t>
      </w:r>
      <w:r>
        <w:rPr>
          <w:b/>
          <w:spacing w:val="-4"/>
          <w:sz w:val="13"/>
        </w:rPr>
        <w:t xml:space="preserve"> </w:t>
      </w:r>
      <w:r w:rsidRPr="006A7393">
        <w:rPr>
          <w:bCs/>
          <w:sz w:val="13"/>
        </w:rPr>
        <w:t>Contador</w:t>
      </w:r>
      <w:r w:rsidRPr="006A7393">
        <w:rPr>
          <w:bCs/>
          <w:spacing w:val="-7"/>
          <w:sz w:val="13"/>
        </w:rPr>
        <w:t xml:space="preserve"> </w:t>
      </w:r>
      <w:r w:rsidRPr="006A7393">
        <w:rPr>
          <w:bCs/>
          <w:sz w:val="13"/>
        </w:rPr>
        <w:t xml:space="preserve">CRC/RJ </w:t>
      </w:r>
      <w:r w:rsidR="006A7393">
        <w:rPr>
          <w:bCs/>
          <w:sz w:val="13"/>
        </w:rPr>
        <w:t>-</w:t>
      </w:r>
      <w:r w:rsidR="00307B90" w:rsidRPr="006A7393">
        <w:rPr>
          <w:bCs/>
          <w:sz w:val="13"/>
        </w:rPr>
        <w:t>127.115/O-2</w:t>
      </w:r>
    </w:p>
    <w:sectPr w:rsidR="00081C6A" w:rsidRPr="006A7393">
      <w:type w:val="continuous"/>
      <w:pgSz w:w="11910" w:h="16840"/>
      <w:pgMar w:top="600" w:right="566" w:bottom="280" w:left="566" w:header="720" w:footer="720" w:gutter="0"/>
      <w:cols w:num="3" w:space="720" w:equalWidth="0">
        <w:col w:w="3558" w:space="77"/>
        <w:col w:w="3429" w:space="86"/>
        <w:col w:w="362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F14655"/>
    <w:multiLevelType w:val="multilevel"/>
    <w:tmpl w:val="6708F81E"/>
    <w:lvl w:ilvl="0">
      <w:start w:val="1"/>
      <w:numFmt w:val="decimal"/>
      <w:lvlText w:val="%1."/>
      <w:lvlJc w:val="left"/>
      <w:pPr>
        <w:ind w:left="114" w:hanging="392"/>
      </w:pPr>
      <w:rPr>
        <w:rFonts w:ascii="Times New Roman" w:eastAsia="Times New Roman" w:hAnsi="Times New Roman" w:cs="Times New Roman" w:hint="default"/>
        <w:b/>
        <w:bCs/>
        <w:i w:val="0"/>
        <w:iCs w:val="0"/>
        <w:spacing w:val="0"/>
        <w:w w:val="102"/>
        <w:sz w:val="14"/>
        <w:szCs w:val="14"/>
        <w:lang w:val="pt-PT" w:eastAsia="en-US" w:bidi="ar-SA"/>
      </w:rPr>
    </w:lvl>
    <w:lvl w:ilvl="1">
      <w:start w:val="1"/>
      <w:numFmt w:val="decimal"/>
      <w:lvlText w:val="%1.%2."/>
      <w:lvlJc w:val="left"/>
      <w:pPr>
        <w:ind w:left="114" w:hanging="259"/>
      </w:pPr>
      <w:rPr>
        <w:rFonts w:ascii="Times New Roman" w:eastAsia="Times New Roman" w:hAnsi="Times New Roman" w:cs="Times New Roman" w:hint="default"/>
        <w:b/>
        <w:bCs/>
        <w:i w:val="0"/>
        <w:iCs w:val="0"/>
        <w:spacing w:val="0"/>
        <w:w w:val="104"/>
        <w:sz w:val="13"/>
        <w:szCs w:val="13"/>
        <w:lang w:val="pt-PT" w:eastAsia="en-US" w:bidi="ar-SA"/>
      </w:rPr>
    </w:lvl>
    <w:lvl w:ilvl="2">
      <w:numFmt w:val="bullet"/>
      <w:lvlText w:val="•"/>
      <w:lvlJc w:val="left"/>
      <w:pPr>
        <w:ind w:left="807" w:hanging="259"/>
      </w:pPr>
      <w:rPr>
        <w:rFonts w:hint="default"/>
        <w:lang w:val="pt-PT" w:eastAsia="en-US" w:bidi="ar-SA"/>
      </w:rPr>
    </w:lvl>
    <w:lvl w:ilvl="3">
      <w:numFmt w:val="bullet"/>
      <w:lvlText w:val="•"/>
      <w:lvlJc w:val="left"/>
      <w:pPr>
        <w:ind w:left="1151" w:hanging="259"/>
      </w:pPr>
      <w:rPr>
        <w:rFonts w:hint="default"/>
        <w:lang w:val="pt-PT" w:eastAsia="en-US" w:bidi="ar-SA"/>
      </w:rPr>
    </w:lvl>
    <w:lvl w:ilvl="4">
      <w:numFmt w:val="bullet"/>
      <w:lvlText w:val="•"/>
      <w:lvlJc w:val="left"/>
      <w:pPr>
        <w:ind w:left="1495" w:hanging="259"/>
      </w:pPr>
      <w:rPr>
        <w:rFonts w:hint="default"/>
        <w:lang w:val="pt-PT" w:eastAsia="en-US" w:bidi="ar-SA"/>
      </w:rPr>
    </w:lvl>
    <w:lvl w:ilvl="5">
      <w:numFmt w:val="bullet"/>
      <w:lvlText w:val="•"/>
      <w:lvlJc w:val="left"/>
      <w:pPr>
        <w:ind w:left="1838" w:hanging="259"/>
      </w:pPr>
      <w:rPr>
        <w:rFonts w:hint="default"/>
        <w:lang w:val="pt-PT" w:eastAsia="en-US" w:bidi="ar-SA"/>
      </w:rPr>
    </w:lvl>
    <w:lvl w:ilvl="6">
      <w:numFmt w:val="bullet"/>
      <w:lvlText w:val="•"/>
      <w:lvlJc w:val="left"/>
      <w:pPr>
        <w:ind w:left="2182" w:hanging="259"/>
      </w:pPr>
      <w:rPr>
        <w:rFonts w:hint="default"/>
        <w:lang w:val="pt-PT" w:eastAsia="en-US" w:bidi="ar-SA"/>
      </w:rPr>
    </w:lvl>
    <w:lvl w:ilvl="7">
      <w:numFmt w:val="bullet"/>
      <w:lvlText w:val="•"/>
      <w:lvlJc w:val="left"/>
      <w:pPr>
        <w:ind w:left="2526" w:hanging="259"/>
      </w:pPr>
      <w:rPr>
        <w:rFonts w:hint="default"/>
        <w:lang w:val="pt-PT" w:eastAsia="en-US" w:bidi="ar-SA"/>
      </w:rPr>
    </w:lvl>
    <w:lvl w:ilvl="8">
      <w:numFmt w:val="bullet"/>
      <w:lvlText w:val="•"/>
      <w:lvlJc w:val="left"/>
      <w:pPr>
        <w:ind w:left="2870" w:hanging="259"/>
      </w:pPr>
      <w:rPr>
        <w:rFonts w:hint="default"/>
        <w:lang w:val="pt-PT" w:eastAsia="en-US" w:bidi="ar-SA"/>
      </w:rPr>
    </w:lvl>
  </w:abstractNum>
  <w:num w:numId="1" w16cid:durableId="1912690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defaultTabStop w:val="720"/>
  <w:hyphenationZone w:val="425"/>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81C6A"/>
    <w:rsid w:val="0000007F"/>
    <w:rsid w:val="000015AF"/>
    <w:rsid w:val="00042060"/>
    <w:rsid w:val="000509D5"/>
    <w:rsid w:val="00081C6A"/>
    <w:rsid w:val="000B77A1"/>
    <w:rsid w:val="000F0AF0"/>
    <w:rsid w:val="0011133F"/>
    <w:rsid w:val="002C3E17"/>
    <w:rsid w:val="00307B90"/>
    <w:rsid w:val="003578EF"/>
    <w:rsid w:val="003A5D89"/>
    <w:rsid w:val="0040050F"/>
    <w:rsid w:val="00465357"/>
    <w:rsid w:val="004E41AB"/>
    <w:rsid w:val="00542FC1"/>
    <w:rsid w:val="0055363E"/>
    <w:rsid w:val="006A7393"/>
    <w:rsid w:val="006E1985"/>
    <w:rsid w:val="008B2824"/>
    <w:rsid w:val="00916ED4"/>
    <w:rsid w:val="0093716B"/>
    <w:rsid w:val="00967955"/>
    <w:rsid w:val="009A1CA0"/>
    <w:rsid w:val="00B77454"/>
    <w:rsid w:val="00BA09EB"/>
    <w:rsid w:val="00C70629"/>
    <w:rsid w:val="00C87F0A"/>
    <w:rsid w:val="00CC755B"/>
    <w:rsid w:val="00CF5DF8"/>
    <w:rsid w:val="00D57F48"/>
    <w:rsid w:val="00DA5EAC"/>
    <w:rsid w:val="00DD31A6"/>
    <w:rsid w:val="00E029CE"/>
    <w:rsid w:val="00E325CD"/>
    <w:rsid w:val="00E77740"/>
    <w:rsid w:val="00F057A6"/>
    <w:rsid w:val="00F10837"/>
    <w:rsid w:val="00F659ED"/>
    <w:rsid w:val="00FD1E6E"/>
    <w:rsid w:val="00FE5A98"/>
    <w:rsid w:val="00FE7E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EA4AF"/>
  <w15:docId w15:val="{3F2D2F7A-FCA8-498E-9054-1C7FB3CC4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spacing w:before="90"/>
      <w:ind w:left="114" w:right="112"/>
      <w:outlineLvl w:val="0"/>
    </w:pPr>
    <w:rPr>
      <w:b/>
      <w:bCs/>
      <w:sz w:val="14"/>
      <w:szCs w:val="1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114" w:firstLine="150"/>
      <w:jc w:val="both"/>
    </w:pPr>
    <w:rPr>
      <w:sz w:val="13"/>
      <w:szCs w:val="13"/>
    </w:rPr>
  </w:style>
  <w:style w:type="paragraph" w:styleId="Ttulo">
    <w:name w:val="Title"/>
    <w:basedOn w:val="Normal"/>
    <w:uiPriority w:val="10"/>
    <w:qFormat/>
    <w:pPr>
      <w:spacing w:before="63"/>
      <w:ind w:left="1" w:right="2"/>
      <w:jc w:val="center"/>
    </w:pPr>
    <w:rPr>
      <w:b/>
      <w:bCs/>
      <w:sz w:val="21"/>
      <w:szCs w:val="21"/>
    </w:rPr>
  </w:style>
  <w:style w:type="paragraph" w:styleId="PargrafodaLista">
    <w:name w:val="List Paragraph"/>
    <w:basedOn w:val="Normal"/>
    <w:uiPriority w:val="1"/>
    <w:qFormat/>
    <w:pPr>
      <w:spacing w:before="90"/>
      <w:ind w:left="114" w:right="3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Pages>
  <Words>1090</Words>
  <Characters>5891</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Ronaldo LP Amaral</cp:lastModifiedBy>
  <cp:revision>28</cp:revision>
  <dcterms:created xsi:type="dcterms:W3CDTF">2026-06-18T00:04:00Z</dcterms:created>
  <dcterms:modified xsi:type="dcterms:W3CDTF">2026-06-19T16:27:00Z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2026-06-18T00:00:00Z</vt:filetime>
  </property>
  <property fmtid="{D5CDD505-2E9C-101B-9397-08002B2CF9AE}" pid="3" name="LastSaved">
    <vt:filetime>2026-06-18T00:00:00Z</vt:filetime>
  </property>
  <property fmtid="{D5CDD505-2E9C-101B-9397-08002B2CF9AE}" pid="4" name="Producer">
    <vt:lpwstr>3-Heights(TM) PDF Security Shell 4.8.25.2 (http://www.pdf-tools.com)</vt:lpwstr>
  </property>
</Properties>
</file>